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490C1" w14:textId="77777777" w:rsidR="00CD078D" w:rsidRPr="00CD078D" w:rsidRDefault="00CD078D" w:rsidP="00CD078D">
      <w:pPr>
        <w:jc w:val="center"/>
        <w:rPr>
          <w:b/>
          <w:bCs/>
          <w:sz w:val="24"/>
          <w:szCs w:val="24"/>
        </w:rPr>
      </w:pPr>
      <w:r w:rsidRPr="00CD078D">
        <w:rPr>
          <w:b/>
          <w:bCs/>
          <w:sz w:val="24"/>
          <w:szCs w:val="24"/>
        </w:rPr>
        <w:t>OŚWIADCZENIE</w:t>
      </w:r>
    </w:p>
    <w:p w14:paraId="16B93547" w14:textId="77777777" w:rsidR="00CD078D" w:rsidRDefault="00CD078D" w:rsidP="0009660B">
      <w:pPr>
        <w:jc w:val="both"/>
      </w:pPr>
    </w:p>
    <w:p w14:paraId="4C73DA16" w14:textId="2A624336" w:rsidR="00850ECC" w:rsidRDefault="0009660B" w:rsidP="0009660B">
      <w:pPr>
        <w:jc w:val="both"/>
      </w:pPr>
      <w:r>
        <w:t xml:space="preserve">Odnosząc się do doniesień medialnych związanych z zakwestionowaniem przez Najwyższą Izbę Kontroli </w:t>
      </w:r>
      <w:r w:rsidR="0054367E">
        <w:t xml:space="preserve">(NIK) </w:t>
      </w:r>
      <w:r>
        <w:t xml:space="preserve">prawidłowości </w:t>
      </w:r>
      <w:r w:rsidR="0054367E">
        <w:t xml:space="preserve">wykorzystania </w:t>
      </w:r>
      <w:r w:rsidR="00D97ACA">
        <w:t xml:space="preserve">przez Fundację Alegoria </w:t>
      </w:r>
      <w:r w:rsidR="0054367E">
        <w:t xml:space="preserve">dofinansowań </w:t>
      </w:r>
      <w:r>
        <w:t>ze środków Funduszu Pomocy Pokrzywdzonym oraz Pomocy Postpenitencjarnej – Funduszu Sprawiedliwości</w:t>
      </w:r>
      <w:r w:rsidR="007541FE">
        <w:t>,</w:t>
      </w:r>
      <w:r w:rsidR="0054367E">
        <w:t xml:space="preserve"> </w:t>
      </w:r>
      <w:r>
        <w:t>pragniemy wyjaśnić, co następuje.</w:t>
      </w:r>
    </w:p>
    <w:p w14:paraId="13825789" w14:textId="77777777" w:rsidR="0009660B" w:rsidRDefault="0009660B" w:rsidP="0009660B">
      <w:pPr>
        <w:jc w:val="both"/>
      </w:pPr>
      <w:r>
        <w:t xml:space="preserve">Ze zdumieniem przyjęliśmy wystąpienie pokontrolne Najwyższej Izby  Kontroli, w którym zakwestionowano część wydatków związanych z realizacją projektów </w:t>
      </w:r>
      <w:proofErr w:type="spellStart"/>
      <w:r w:rsidRPr="0009660B">
        <w:t>Busol</w:t>
      </w:r>
      <w:proofErr w:type="spellEnd"/>
      <w:r w:rsidRPr="0009660B">
        <w:t>@ i Horyzonty.</w:t>
      </w:r>
      <w:r>
        <w:t xml:space="preserve"> </w:t>
      </w:r>
    </w:p>
    <w:p w14:paraId="0A64D892" w14:textId="77777777" w:rsidR="0009660B" w:rsidRPr="00997DC9" w:rsidRDefault="0009660B" w:rsidP="0009660B">
      <w:pPr>
        <w:jc w:val="both"/>
      </w:pPr>
      <w:r>
        <w:t>Zaznaczamy</w:t>
      </w:r>
      <w:r w:rsidRPr="0009660B">
        <w:t>, że przez cały okres trwania um</w:t>
      </w:r>
      <w:r w:rsidR="0054367E">
        <w:t>ów</w:t>
      </w:r>
      <w:r w:rsidRPr="0009660B">
        <w:t>, nasza Fundacja była szczegółowo kontrolowana przez Ministerstwo Sprawiedliwości. Realizując projekty, co kwartał przedstawialiśmy informację kwartalną, czyli zestawienie poniesionych kosztów</w:t>
      </w:r>
      <w:r>
        <w:t>,</w:t>
      </w:r>
      <w:r w:rsidRPr="0009660B">
        <w:t xml:space="preserve"> a co pół roku szczegółowe sprawozdanie merytoryczne i finansowe.</w:t>
      </w:r>
      <w:r>
        <w:t xml:space="preserve"> W odpowiedzi na przedkładane przez nas informacje i dokumenty nigdy nie</w:t>
      </w:r>
      <w:r w:rsidRPr="0009660B">
        <w:t xml:space="preserve"> otrzymaliśmy wniosków, rekomendacji czy zastrzeżeń, dotyczących realizowanych przez nas projektów,</w:t>
      </w:r>
      <w:r>
        <w:t xml:space="preserve"> które </w:t>
      </w:r>
      <w:r w:rsidR="007541FE">
        <w:t xml:space="preserve">w jakimkolwiek stopniu </w:t>
      </w:r>
      <w:r>
        <w:t>korespondowałyby z</w:t>
      </w:r>
      <w:r w:rsidR="007541FE">
        <w:t xml:space="preserve"> opisanymi niżej</w:t>
      </w:r>
      <w:r>
        <w:t xml:space="preserve"> zarzutami NIK</w:t>
      </w:r>
      <w:r w:rsidRPr="0009660B">
        <w:t>.</w:t>
      </w:r>
      <w:r>
        <w:t xml:space="preserve"> </w:t>
      </w:r>
    </w:p>
    <w:p w14:paraId="59D51C8C" w14:textId="77777777" w:rsidR="0054367E" w:rsidRDefault="0009660B" w:rsidP="0009660B">
      <w:pPr>
        <w:jc w:val="both"/>
      </w:pPr>
      <w:r w:rsidRPr="0009660B">
        <w:t xml:space="preserve">Na przestrzeni ostatnich miesięcy w pełni współpracowaliśmy z </w:t>
      </w:r>
      <w:r>
        <w:t xml:space="preserve">przedstawicielami NIK </w:t>
      </w:r>
      <w:r w:rsidRPr="0009660B">
        <w:t xml:space="preserve">prowadzącymi kontrolę projektów finansowanych z Funduszu Sprawiedliwości. </w:t>
      </w:r>
      <w:r w:rsidRPr="0054367E">
        <w:rPr>
          <w:b/>
          <w:bCs/>
        </w:rPr>
        <w:t xml:space="preserve">Na etapie kontroli, jak i w wystąpieniu pokontrolnym przyznano, że Fundacja </w:t>
      </w:r>
      <w:r w:rsidR="007541FE">
        <w:rPr>
          <w:b/>
          <w:bCs/>
        </w:rPr>
        <w:t xml:space="preserve">Alegoria </w:t>
      </w:r>
      <w:r w:rsidRPr="0054367E">
        <w:rPr>
          <w:b/>
          <w:bCs/>
        </w:rPr>
        <w:t>zrealizowała wspomniane projekty i osiągnęła zaplanowane efekty</w:t>
      </w:r>
      <w:r w:rsidRPr="0009660B">
        <w:t xml:space="preserve">. </w:t>
      </w:r>
      <w:r>
        <w:t>Przedmiotem zarzutów NIK z wystąpienia pokontrolnego</w:t>
      </w:r>
      <w:r w:rsidR="0054367E">
        <w:t xml:space="preserve"> uzasadniających w ocenie NIK zwrot części uzyskanych dofinansowań</w:t>
      </w:r>
      <w:r>
        <w:t xml:space="preserve"> jest natomiast</w:t>
      </w:r>
      <w:r w:rsidR="0054367E">
        <w:t>:</w:t>
      </w:r>
    </w:p>
    <w:p w14:paraId="5FB519F3" w14:textId="77777777" w:rsidR="0054367E" w:rsidRPr="0054367E" w:rsidRDefault="0009660B" w:rsidP="0054367E">
      <w:pPr>
        <w:pStyle w:val="Akapitzlist"/>
        <w:numPr>
          <w:ilvl w:val="0"/>
          <w:numId w:val="20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4367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kwestia kosztów administracyjnych oraz </w:t>
      </w:r>
    </w:p>
    <w:p w14:paraId="41B1591E" w14:textId="77777777" w:rsidR="0054367E" w:rsidRDefault="0009660B" w:rsidP="0054367E">
      <w:pPr>
        <w:pStyle w:val="Akapitzlist"/>
        <w:numPr>
          <w:ilvl w:val="0"/>
          <w:numId w:val="20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4367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okoliczność podzlecenia usług informatycznych w ramach projektu Horyzonty Fundacji Profeto.pl. </w:t>
      </w:r>
    </w:p>
    <w:p w14:paraId="4BB4A592" w14:textId="77777777" w:rsidR="0054367E" w:rsidRPr="0054367E" w:rsidRDefault="0054367E" w:rsidP="0054367E">
      <w:pPr>
        <w:pStyle w:val="Akapitzlist"/>
        <w:ind w:left="7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C40AB6D" w14:textId="77777777" w:rsidR="0054367E" w:rsidRPr="0054367E" w:rsidRDefault="0009660B" w:rsidP="0054367E">
      <w:pPr>
        <w:jc w:val="both"/>
        <w:rPr>
          <w:b/>
          <w:bCs/>
        </w:rPr>
      </w:pPr>
      <w:r>
        <w:t xml:space="preserve">W </w:t>
      </w:r>
      <w:r w:rsidR="0054367E">
        <w:t xml:space="preserve">nawiązaniu do tych kwestii </w:t>
      </w:r>
      <w:r w:rsidRPr="0054367E">
        <w:rPr>
          <w:b/>
          <w:bCs/>
        </w:rPr>
        <w:t>NIK wnioskuje o zwrot przez Fundację Alegoria rzekomo niekwalifikowalnych wydatków w kwocie ponad trzech milionów złotych</w:t>
      </w:r>
      <w:r w:rsidR="001B10A3" w:rsidRPr="0054367E">
        <w:rPr>
          <w:b/>
          <w:bCs/>
        </w:rPr>
        <w:t>, co – w przypadku</w:t>
      </w:r>
      <w:r w:rsidR="00E478E4" w:rsidRPr="0054367E">
        <w:rPr>
          <w:b/>
          <w:bCs/>
        </w:rPr>
        <w:t xml:space="preserve"> utrzymania się tego stanowiska i egzekwowania tej kwoty </w:t>
      </w:r>
      <w:r w:rsidR="001B10A3" w:rsidRPr="0054367E">
        <w:rPr>
          <w:b/>
          <w:bCs/>
        </w:rPr>
        <w:t xml:space="preserve">– </w:t>
      </w:r>
      <w:r w:rsidR="007541FE">
        <w:rPr>
          <w:b/>
          <w:bCs/>
        </w:rPr>
        <w:t xml:space="preserve">w sposób nieunikniony </w:t>
      </w:r>
      <w:r w:rsidR="001B10A3" w:rsidRPr="0054367E">
        <w:rPr>
          <w:b/>
          <w:bCs/>
        </w:rPr>
        <w:t>doprowadzi do upadłości Fundacji Alegoria</w:t>
      </w:r>
      <w:r w:rsidRPr="0054367E">
        <w:rPr>
          <w:b/>
          <w:bCs/>
        </w:rPr>
        <w:t>.</w:t>
      </w:r>
    </w:p>
    <w:p w14:paraId="07FD6931" w14:textId="77777777" w:rsidR="0009660B" w:rsidRDefault="0009660B" w:rsidP="0009660B">
      <w:pPr>
        <w:jc w:val="both"/>
      </w:pPr>
      <w:r>
        <w:t>Tymczasem</w:t>
      </w:r>
      <w:r w:rsidR="001B10A3">
        <w:t xml:space="preserve"> w ocenie Fundacji Alegoria</w:t>
      </w:r>
      <w:r>
        <w:t xml:space="preserve"> </w:t>
      </w:r>
      <w:r w:rsidR="001B10A3" w:rsidRPr="00E478E4">
        <w:rPr>
          <w:b/>
          <w:bCs/>
        </w:rPr>
        <w:t xml:space="preserve">formułowane przez NIK </w:t>
      </w:r>
      <w:r w:rsidRPr="00E478E4">
        <w:rPr>
          <w:b/>
          <w:bCs/>
        </w:rPr>
        <w:t>zarzuty</w:t>
      </w:r>
      <w:r w:rsidR="001B10A3" w:rsidRPr="00E478E4">
        <w:rPr>
          <w:b/>
          <w:bCs/>
        </w:rPr>
        <w:t xml:space="preserve">, którymi NIK uzasadnia rzekomy obowiązek zwrotu, </w:t>
      </w:r>
      <w:r w:rsidRPr="00E478E4">
        <w:rPr>
          <w:b/>
          <w:bCs/>
        </w:rPr>
        <w:t xml:space="preserve">są bezzasadne, a sama Fundacja Alegoria </w:t>
      </w:r>
      <w:r w:rsidR="007541FE">
        <w:rPr>
          <w:b/>
          <w:bCs/>
        </w:rPr>
        <w:t xml:space="preserve">jest </w:t>
      </w:r>
      <w:r w:rsidRPr="00E478E4">
        <w:rPr>
          <w:b/>
          <w:bCs/>
        </w:rPr>
        <w:t xml:space="preserve">ofiarą </w:t>
      </w:r>
      <w:r w:rsidR="001B10A3" w:rsidRPr="00E478E4">
        <w:rPr>
          <w:b/>
          <w:bCs/>
        </w:rPr>
        <w:t>nagonki politycznej związanej z Funduszem Sprawiedliwości</w:t>
      </w:r>
      <w:r w:rsidR="001B10A3">
        <w:t xml:space="preserve">. </w:t>
      </w:r>
    </w:p>
    <w:p w14:paraId="1FB92231" w14:textId="77777777" w:rsidR="001B10A3" w:rsidRDefault="001B10A3" w:rsidP="001B10A3">
      <w:pPr>
        <w:jc w:val="both"/>
      </w:pPr>
      <w:r w:rsidRPr="000C3AB4">
        <w:rPr>
          <w:b/>
          <w:bCs/>
        </w:rPr>
        <w:t xml:space="preserve">Odnosząc się bowiem do zarzutu braku dokonania przez Fundację zwrotu na konto </w:t>
      </w:r>
      <w:r w:rsidR="007541FE">
        <w:rPr>
          <w:b/>
          <w:bCs/>
        </w:rPr>
        <w:t xml:space="preserve">Ministra Sprawiedliwości (Dysponenta Funduszu) </w:t>
      </w:r>
      <w:r w:rsidRPr="000C3AB4">
        <w:rPr>
          <w:b/>
          <w:bCs/>
        </w:rPr>
        <w:t>niewykorzystanych środków przeznaczonych na wydatki administracyjne</w:t>
      </w:r>
      <w:r w:rsidRPr="001B10A3">
        <w:t xml:space="preserve"> w projekcie </w:t>
      </w:r>
      <w:proofErr w:type="spellStart"/>
      <w:r w:rsidRPr="001B10A3">
        <w:t>Busol</w:t>
      </w:r>
      <w:proofErr w:type="spellEnd"/>
      <w:r w:rsidRPr="001B10A3">
        <w:t>@ (</w:t>
      </w:r>
      <w:r>
        <w:t xml:space="preserve">objętym </w:t>
      </w:r>
      <w:r w:rsidRPr="001B10A3">
        <w:t>umow</w:t>
      </w:r>
      <w:r>
        <w:t xml:space="preserve">ą dotacji </w:t>
      </w:r>
      <w:r w:rsidRPr="001B10A3">
        <w:t>nr</w:t>
      </w:r>
      <w:r>
        <w:t xml:space="preserve"> </w:t>
      </w:r>
      <w:r w:rsidRPr="003767A7">
        <w:t xml:space="preserve">DFS-II.7211.50.2020 z </w:t>
      </w:r>
      <w:r>
        <w:t>dnia 0</w:t>
      </w:r>
      <w:r w:rsidRPr="003767A7">
        <w:t>8</w:t>
      </w:r>
      <w:r>
        <w:t>.04.</w:t>
      </w:r>
      <w:r w:rsidRPr="003767A7">
        <w:t>2020 r.</w:t>
      </w:r>
      <w:r w:rsidRPr="001B10A3">
        <w:t>)  i Horyzonty (</w:t>
      </w:r>
      <w:r>
        <w:t xml:space="preserve">objętym </w:t>
      </w:r>
      <w:r w:rsidRPr="001B10A3">
        <w:t>umow</w:t>
      </w:r>
      <w:r>
        <w:t xml:space="preserve">ą dotacji </w:t>
      </w:r>
      <w:r w:rsidRPr="001B10A3">
        <w:t xml:space="preserve">nr </w:t>
      </w:r>
      <w:r w:rsidRPr="003767A7">
        <w:t>DF</w:t>
      </w:r>
      <w:r>
        <w:t>S.</w:t>
      </w:r>
      <w:r w:rsidRPr="003767A7">
        <w:t xml:space="preserve">II.7211.134.2020 z </w:t>
      </w:r>
      <w:r>
        <w:t xml:space="preserve">dnia </w:t>
      </w:r>
      <w:r w:rsidRPr="003767A7">
        <w:t>18</w:t>
      </w:r>
      <w:r>
        <w:t>.09.</w:t>
      </w:r>
      <w:r w:rsidRPr="003767A7">
        <w:t>2020 r.</w:t>
      </w:r>
      <w:r w:rsidRPr="001B10A3">
        <w:t xml:space="preserve">) w łącznej kwocie 1.116.387,01 zł (tj. 12.825,71 zł w ramach środków przeznaczonych na projekt </w:t>
      </w:r>
      <w:proofErr w:type="spellStart"/>
      <w:r w:rsidRPr="001B10A3">
        <w:t>Busol</w:t>
      </w:r>
      <w:proofErr w:type="spellEnd"/>
      <w:r w:rsidRPr="001B10A3">
        <w:t xml:space="preserve">@ i 1.103.561,30 zł </w:t>
      </w:r>
      <w:r w:rsidR="007541FE">
        <w:t>w ramach środków przeznaczonych na</w:t>
      </w:r>
      <w:r w:rsidRPr="001B10A3">
        <w:t xml:space="preserve"> projekt Horyzonty)</w:t>
      </w:r>
      <w:r>
        <w:t xml:space="preserve">, należy podkreślić, że </w:t>
      </w:r>
      <w:r w:rsidRPr="001B10A3">
        <w:rPr>
          <w:b/>
          <w:bCs/>
        </w:rPr>
        <w:t xml:space="preserve">stanowisko NIK pozostaje w jaskrawej sprzeczności z treścią zawartych </w:t>
      </w:r>
      <w:r w:rsidR="007541FE">
        <w:rPr>
          <w:b/>
          <w:bCs/>
        </w:rPr>
        <w:t xml:space="preserve">między Dysponentem Funduszu a Fundacją Alegoria </w:t>
      </w:r>
      <w:r w:rsidRPr="001B10A3">
        <w:rPr>
          <w:b/>
          <w:bCs/>
        </w:rPr>
        <w:t>umów dotacji</w:t>
      </w:r>
      <w:r>
        <w:t>.</w:t>
      </w:r>
    </w:p>
    <w:p w14:paraId="1C617DC8" w14:textId="77777777" w:rsidR="001B10A3" w:rsidRDefault="001B10A3" w:rsidP="001B10A3">
      <w:pPr>
        <w:jc w:val="both"/>
      </w:pPr>
      <w:r>
        <w:t>NIK podnosi</w:t>
      </w:r>
      <w:r w:rsidRPr="001B10A3">
        <w:t>, że Fundacja</w:t>
      </w:r>
      <w:r>
        <w:t xml:space="preserve"> Alegoria</w:t>
      </w:r>
      <w:r w:rsidRPr="001B10A3">
        <w:t xml:space="preserve"> winna zwrócić Dysponentowi Funduszu</w:t>
      </w:r>
      <w:r>
        <w:t xml:space="preserve"> (Ministrowi Sprawiedliwości)</w:t>
      </w:r>
      <w:r w:rsidRPr="001B10A3">
        <w:t xml:space="preserve"> koszty administracyjne, które nie znalazły pokrycia w przedstawionych przez Fundację dokumentach.</w:t>
      </w:r>
    </w:p>
    <w:p w14:paraId="63231C2C" w14:textId="77777777" w:rsidR="001B10A3" w:rsidRDefault="001B10A3" w:rsidP="001B10A3">
      <w:pPr>
        <w:jc w:val="both"/>
      </w:pPr>
      <w:r>
        <w:t xml:space="preserve">Tymczasem </w:t>
      </w:r>
      <w:r w:rsidR="00E478E4">
        <w:t xml:space="preserve">postanowienia </w:t>
      </w:r>
      <w:r w:rsidR="007541FE">
        <w:t xml:space="preserve">wspomnianych </w:t>
      </w:r>
      <w:r w:rsidRPr="001B10A3">
        <w:t>umów dotacji</w:t>
      </w:r>
      <w:r w:rsidR="00E478E4">
        <w:t xml:space="preserve"> jasno stanowią, że: </w:t>
      </w:r>
    </w:p>
    <w:p w14:paraId="54FCBEDE" w14:textId="77777777" w:rsidR="00E478E4" w:rsidRDefault="00E478E4" w:rsidP="0054367E">
      <w:pPr>
        <w:pStyle w:val="Tekstpodstawowy"/>
        <w:numPr>
          <w:ilvl w:val="0"/>
          <w:numId w:val="19"/>
        </w:numPr>
        <w:spacing w:after="0" w:line="300" w:lineRule="exact"/>
        <w:jc w:val="both"/>
        <w:rPr>
          <w:rFonts w:asciiTheme="minorHAnsi" w:eastAsiaTheme="minorHAnsi" w:hAnsiTheme="minorHAnsi" w:cstheme="minorBidi"/>
          <w:sz w:val="22"/>
          <w:szCs w:val="22"/>
          <w:lang w:val="pl-PL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lastRenderedPageBreak/>
        <w:t xml:space="preserve">z </w:t>
      </w:r>
      <w:r w:rsidRPr="00E478E4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>uwagi na ryczałtowy sposób rozliczania kosztów administracyjnych wydatki te traktowane są jako wydatki poniesione, z zastrzeżeniem weryfikacji poziomu kosztów administracyjnych do zatwierdzonych przez Dysponenta Funduszu wydatków kwalifikowalnych w ramach realizacji zadań</w:t>
      </w:r>
      <w:r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>;</w:t>
      </w:r>
    </w:p>
    <w:p w14:paraId="7F33204A" w14:textId="77777777" w:rsidR="001B10A3" w:rsidRPr="00E478E4" w:rsidRDefault="00E478E4" w:rsidP="0054367E">
      <w:pPr>
        <w:pStyle w:val="Tekstpodstawowy"/>
        <w:numPr>
          <w:ilvl w:val="0"/>
          <w:numId w:val="19"/>
        </w:numPr>
        <w:spacing w:after="0" w:line="300" w:lineRule="exact"/>
        <w:jc w:val="both"/>
        <w:rPr>
          <w:rFonts w:asciiTheme="minorHAnsi" w:eastAsiaTheme="minorHAnsi" w:hAnsiTheme="minorHAnsi" w:cstheme="minorBidi"/>
          <w:sz w:val="22"/>
          <w:szCs w:val="22"/>
          <w:lang w:val="pl-PL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>z</w:t>
      </w:r>
      <w:r w:rsidR="001B10A3" w:rsidRPr="00E478E4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>asady dotyczące dokumentacji finansowo-księgowej nie dotyczą kosztów administracyjnych. Na potrzeby rozliczenia dotacji nie ma obowiązku gromadzenia dokumentów finansowo-księgowych związanych z kosztami administracyjnymi</w:t>
      </w:r>
      <w:r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>.</w:t>
      </w:r>
    </w:p>
    <w:p w14:paraId="676AA852" w14:textId="77777777" w:rsidR="00E478E4" w:rsidRDefault="00E478E4" w:rsidP="00E478E4">
      <w:pPr>
        <w:pStyle w:val="Tekstpodstawowy"/>
        <w:spacing w:after="0" w:line="300" w:lineRule="exact"/>
        <w:ind w:right="230"/>
        <w:jc w:val="both"/>
        <w:rPr>
          <w:sz w:val="22"/>
          <w:szCs w:val="22"/>
          <w:lang w:val="pl-PL"/>
        </w:rPr>
      </w:pPr>
    </w:p>
    <w:p w14:paraId="01C8524C" w14:textId="77777777" w:rsidR="00E478E4" w:rsidRPr="00E478E4" w:rsidRDefault="0054367E" w:rsidP="007541FE">
      <w:pPr>
        <w:pStyle w:val="Tekstpodstawowy"/>
        <w:spacing w:after="0" w:line="300" w:lineRule="exact"/>
        <w:jc w:val="both"/>
        <w:rPr>
          <w:rFonts w:asciiTheme="minorHAnsi" w:eastAsiaTheme="minorHAnsi" w:hAnsiTheme="minorHAnsi" w:cstheme="minorBidi"/>
          <w:sz w:val="22"/>
          <w:szCs w:val="22"/>
          <w:lang w:val="pl-PL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>Reguły te przedstawiono</w:t>
      </w:r>
      <w:r w:rsidR="00E478E4" w:rsidRPr="00E478E4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 xml:space="preserve"> również w ogłoszeniach konkursowych Ministerstwa Sprawiedliwości.</w:t>
      </w:r>
    </w:p>
    <w:p w14:paraId="7D09CE6D" w14:textId="77777777" w:rsidR="00E478E4" w:rsidRDefault="00E478E4" w:rsidP="007541FE">
      <w:pPr>
        <w:pStyle w:val="Tekstpodstawowy"/>
        <w:spacing w:after="0" w:line="300" w:lineRule="exact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7C411ADD" w14:textId="77777777" w:rsidR="001B10A3" w:rsidRPr="00E478E4" w:rsidRDefault="001B10A3" w:rsidP="007541FE">
      <w:pPr>
        <w:pStyle w:val="Tekstpodstawowy"/>
        <w:spacing w:after="0" w:line="300" w:lineRule="exact"/>
        <w:jc w:val="both"/>
        <w:rPr>
          <w:rFonts w:asciiTheme="minorHAnsi" w:hAnsiTheme="minorHAnsi"/>
          <w:sz w:val="22"/>
          <w:szCs w:val="22"/>
          <w:lang w:val="pl-PL"/>
        </w:rPr>
      </w:pPr>
      <w:r w:rsidRPr="00E478E4">
        <w:rPr>
          <w:rFonts w:asciiTheme="minorHAnsi" w:hAnsiTheme="minorHAnsi"/>
          <w:sz w:val="22"/>
          <w:szCs w:val="22"/>
          <w:lang w:val="pl-PL"/>
        </w:rPr>
        <w:t>Powyższe oznacza, że:</w:t>
      </w:r>
    </w:p>
    <w:p w14:paraId="68B09D5F" w14:textId="77777777" w:rsidR="001B10A3" w:rsidRPr="00E478E4" w:rsidRDefault="001B10A3" w:rsidP="007541FE">
      <w:pPr>
        <w:pStyle w:val="Tekstpodstawowy"/>
        <w:numPr>
          <w:ilvl w:val="0"/>
          <w:numId w:val="16"/>
        </w:numPr>
        <w:spacing w:after="0" w:line="300" w:lineRule="exact"/>
        <w:ind w:left="426" w:hanging="426"/>
        <w:jc w:val="both"/>
        <w:rPr>
          <w:rFonts w:asciiTheme="minorHAnsi" w:hAnsiTheme="minorHAnsi"/>
          <w:sz w:val="22"/>
          <w:szCs w:val="22"/>
          <w:lang w:val="pl-PL"/>
        </w:rPr>
      </w:pPr>
      <w:r w:rsidRPr="00E478E4">
        <w:rPr>
          <w:rFonts w:asciiTheme="minorHAnsi" w:hAnsiTheme="minorHAnsi"/>
          <w:sz w:val="22"/>
          <w:szCs w:val="22"/>
          <w:lang w:val="pl-PL"/>
        </w:rPr>
        <w:t xml:space="preserve">żaden organ – w tym NIK – nie ma prawa żądać od Fundacji </w:t>
      </w:r>
      <w:r w:rsidR="00E478E4" w:rsidRPr="00E478E4">
        <w:rPr>
          <w:rFonts w:asciiTheme="minorHAnsi" w:hAnsiTheme="minorHAnsi"/>
          <w:sz w:val="22"/>
          <w:szCs w:val="22"/>
          <w:lang w:val="pl-PL"/>
        </w:rPr>
        <w:t xml:space="preserve">Alegoria </w:t>
      </w:r>
      <w:r w:rsidRPr="00E478E4">
        <w:rPr>
          <w:rFonts w:asciiTheme="minorHAnsi" w:hAnsiTheme="minorHAnsi"/>
          <w:sz w:val="22"/>
          <w:szCs w:val="22"/>
          <w:lang w:val="pl-PL"/>
        </w:rPr>
        <w:t>dowodów dokumentujących poniesienie kosztów administracyjnych;</w:t>
      </w:r>
    </w:p>
    <w:p w14:paraId="5A9246E9" w14:textId="77777777" w:rsidR="001B10A3" w:rsidRPr="00E478E4" w:rsidRDefault="001B10A3" w:rsidP="007541FE">
      <w:pPr>
        <w:pStyle w:val="Tekstpodstawowy"/>
        <w:numPr>
          <w:ilvl w:val="0"/>
          <w:numId w:val="16"/>
        </w:numPr>
        <w:spacing w:after="0" w:line="300" w:lineRule="exact"/>
        <w:ind w:left="426" w:hanging="426"/>
        <w:jc w:val="both"/>
        <w:rPr>
          <w:rFonts w:asciiTheme="minorHAnsi" w:hAnsiTheme="minorHAnsi"/>
          <w:sz w:val="22"/>
          <w:szCs w:val="22"/>
          <w:lang w:val="pl-PL"/>
        </w:rPr>
      </w:pPr>
      <w:r w:rsidRPr="00E478E4">
        <w:rPr>
          <w:rFonts w:asciiTheme="minorHAnsi" w:hAnsiTheme="minorHAnsi"/>
          <w:sz w:val="22"/>
          <w:szCs w:val="22"/>
          <w:lang w:val="pl-PL"/>
        </w:rPr>
        <w:t>zakwestionowanie kwalifikowalności kosztów administracyjnych jest możliwe tylko w przypadku zakwestionowania wykonania projektu pod kątem merytorycznym, bądź przekroczenia przez wykonawcę w zakresie tych kosztów administracyjnych 25% limitu (wówczas nadwyżka ponad ten limit podlega zwrotowi na rzecz Dysponenta Funduszu) – przy czym żadna z tych sytuacji nie ma miejsca w przypadku Fundacji</w:t>
      </w:r>
      <w:r w:rsidR="00E478E4">
        <w:rPr>
          <w:rFonts w:asciiTheme="minorHAnsi" w:hAnsiTheme="minorHAnsi"/>
          <w:sz w:val="22"/>
          <w:szCs w:val="22"/>
          <w:lang w:val="pl-PL"/>
        </w:rPr>
        <w:t xml:space="preserve"> Alegoria</w:t>
      </w:r>
      <w:r w:rsidRPr="00E478E4">
        <w:rPr>
          <w:rFonts w:asciiTheme="minorHAnsi" w:hAnsiTheme="minorHAnsi"/>
          <w:sz w:val="22"/>
          <w:szCs w:val="22"/>
          <w:lang w:val="pl-PL"/>
        </w:rPr>
        <w:t>, co NIK</w:t>
      </w:r>
      <w:r w:rsidR="00E478E4">
        <w:rPr>
          <w:rFonts w:asciiTheme="minorHAnsi" w:hAnsiTheme="minorHAnsi"/>
          <w:sz w:val="22"/>
          <w:szCs w:val="22"/>
          <w:lang w:val="pl-PL"/>
        </w:rPr>
        <w:t xml:space="preserve"> wprost </w:t>
      </w:r>
      <w:r w:rsidRPr="00E478E4">
        <w:rPr>
          <w:rFonts w:asciiTheme="minorHAnsi" w:hAnsiTheme="minorHAnsi"/>
          <w:sz w:val="22"/>
          <w:szCs w:val="22"/>
          <w:lang w:val="pl-PL"/>
        </w:rPr>
        <w:t>stwierdza  w skierowanym do Fundacji wystąpieniu pokontrolnym.</w:t>
      </w:r>
    </w:p>
    <w:p w14:paraId="38B74D15" w14:textId="77777777" w:rsidR="001B10A3" w:rsidRPr="001B10A3" w:rsidRDefault="001B10A3" w:rsidP="007541FE">
      <w:pPr>
        <w:pStyle w:val="Tekstpodstawowy"/>
        <w:spacing w:after="0" w:line="300" w:lineRule="exact"/>
        <w:ind w:left="709" w:hanging="709"/>
        <w:jc w:val="both"/>
        <w:rPr>
          <w:sz w:val="22"/>
          <w:szCs w:val="22"/>
          <w:highlight w:val="yellow"/>
          <w:lang w:val="pl-PL"/>
        </w:rPr>
      </w:pPr>
    </w:p>
    <w:p w14:paraId="6B1502CE" w14:textId="77777777" w:rsidR="001B10A3" w:rsidRDefault="001B10A3" w:rsidP="007541FE">
      <w:pPr>
        <w:pStyle w:val="Tekstpodstawowy"/>
        <w:spacing w:after="0" w:line="300" w:lineRule="exact"/>
        <w:jc w:val="both"/>
        <w:rPr>
          <w:rFonts w:asciiTheme="minorHAnsi" w:hAnsiTheme="minorHAnsi"/>
          <w:sz w:val="22"/>
          <w:szCs w:val="22"/>
          <w:lang w:val="pl-PL"/>
        </w:rPr>
      </w:pPr>
      <w:r w:rsidRPr="00E478E4">
        <w:rPr>
          <w:rFonts w:asciiTheme="minorHAnsi" w:hAnsiTheme="minorHAnsi"/>
          <w:sz w:val="22"/>
          <w:szCs w:val="22"/>
          <w:lang w:val="pl-PL"/>
        </w:rPr>
        <w:t xml:space="preserve">Nie wiadomo, dlaczego </w:t>
      </w:r>
      <w:r w:rsidR="00E478E4">
        <w:rPr>
          <w:rFonts w:asciiTheme="minorHAnsi" w:hAnsiTheme="minorHAnsi"/>
          <w:sz w:val="22"/>
          <w:szCs w:val="22"/>
          <w:lang w:val="pl-PL"/>
        </w:rPr>
        <w:t>NIK</w:t>
      </w:r>
      <w:r w:rsidRPr="00E478E4">
        <w:rPr>
          <w:rFonts w:asciiTheme="minorHAnsi" w:hAnsiTheme="minorHAnsi"/>
          <w:sz w:val="22"/>
          <w:szCs w:val="22"/>
          <w:lang w:val="pl-PL"/>
        </w:rPr>
        <w:t xml:space="preserve"> utożsamia brak udokumentowania kosztów administracyjnych z brakiem ich poniesienia przez Fundację</w:t>
      </w:r>
      <w:r w:rsidR="00E478E4">
        <w:rPr>
          <w:rFonts w:asciiTheme="minorHAnsi" w:hAnsiTheme="minorHAnsi"/>
          <w:sz w:val="22"/>
          <w:szCs w:val="22"/>
          <w:lang w:val="pl-PL"/>
        </w:rPr>
        <w:t xml:space="preserve"> Alegoria</w:t>
      </w:r>
      <w:r w:rsidRPr="00E478E4">
        <w:rPr>
          <w:rFonts w:asciiTheme="minorHAnsi" w:hAnsiTheme="minorHAnsi"/>
          <w:sz w:val="22"/>
          <w:szCs w:val="22"/>
          <w:lang w:val="pl-PL"/>
        </w:rPr>
        <w:t>, zwłaszcza wobec klarownej treści postanowień obu zawartych przez Fundację</w:t>
      </w:r>
      <w:r w:rsidR="00E478E4">
        <w:rPr>
          <w:rFonts w:asciiTheme="minorHAnsi" w:hAnsiTheme="minorHAnsi"/>
          <w:sz w:val="22"/>
          <w:szCs w:val="22"/>
          <w:lang w:val="pl-PL"/>
        </w:rPr>
        <w:t xml:space="preserve"> Alegoria</w:t>
      </w:r>
      <w:r w:rsidRPr="00E478E4">
        <w:rPr>
          <w:rFonts w:asciiTheme="minorHAnsi" w:hAnsiTheme="minorHAnsi"/>
          <w:sz w:val="22"/>
          <w:szCs w:val="22"/>
          <w:lang w:val="pl-PL"/>
        </w:rPr>
        <w:t xml:space="preserve"> umów dotacji.</w:t>
      </w:r>
      <w:r w:rsidR="00E478E4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E478E4">
        <w:rPr>
          <w:rFonts w:asciiTheme="minorHAnsi" w:hAnsiTheme="minorHAnsi"/>
          <w:sz w:val="22"/>
          <w:szCs w:val="22"/>
          <w:lang w:val="pl-PL"/>
        </w:rPr>
        <w:t>Wypada również zauważyć, że żaden przepis umów dotacji nie przewiduje obowiązku zwrotu nieudokumentowanych kosztów administracyjnych. Podstawy prawnej obowiązku zwrotu nieudokumentowanych kosztów administracyjnych z dotacji celowej z Funduszu Sprawiedliwości próżno szukać również w przepisach obowiązującego prawa.</w:t>
      </w:r>
      <w:r w:rsidR="00E478E4">
        <w:rPr>
          <w:rFonts w:asciiTheme="minorHAnsi" w:hAnsiTheme="minorHAnsi"/>
          <w:sz w:val="22"/>
          <w:szCs w:val="22"/>
          <w:lang w:val="pl-PL"/>
        </w:rPr>
        <w:t xml:space="preserve"> </w:t>
      </w:r>
    </w:p>
    <w:p w14:paraId="2019936C" w14:textId="77777777" w:rsidR="00E478E4" w:rsidRDefault="00E478E4" w:rsidP="007541FE">
      <w:pPr>
        <w:pStyle w:val="Tekstpodstawowy"/>
        <w:spacing w:after="0" w:line="300" w:lineRule="exact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10395002" w14:textId="77777777" w:rsidR="001B10A3" w:rsidRPr="000C3AB4" w:rsidRDefault="000C3AB4" w:rsidP="007541FE">
      <w:pPr>
        <w:pStyle w:val="Tekstpodstawowy"/>
        <w:spacing w:after="0" w:line="300" w:lineRule="exact"/>
        <w:jc w:val="both"/>
        <w:rPr>
          <w:rFonts w:asciiTheme="minorHAnsi" w:hAnsiTheme="minorHAnsi"/>
          <w:sz w:val="22"/>
          <w:szCs w:val="22"/>
          <w:lang w:val="pl-PL"/>
        </w:rPr>
      </w:pPr>
      <w:r w:rsidRPr="0054367E">
        <w:rPr>
          <w:rFonts w:asciiTheme="minorHAnsi" w:hAnsiTheme="minorHAnsi"/>
          <w:b/>
          <w:bCs/>
          <w:sz w:val="22"/>
          <w:szCs w:val="22"/>
          <w:lang w:val="pl-PL"/>
        </w:rPr>
        <w:t xml:space="preserve">Podobnie bezzasadny jest </w:t>
      </w:r>
      <w:r w:rsidR="0054367E">
        <w:rPr>
          <w:rFonts w:asciiTheme="minorHAnsi" w:hAnsiTheme="minorHAnsi"/>
          <w:b/>
          <w:bCs/>
          <w:sz w:val="22"/>
          <w:szCs w:val="22"/>
          <w:lang w:val="pl-PL"/>
        </w:rPr>
        <w:t>inny</w:t>
      </w:r>
      <w:r w:rsidRPr="0054367E">
        <w:rPr>
          <w:rFonts w:asciiTheme="minorHAnsi" w:hAnsiTheme="minorHAnsi"/>
          <w:b/>
          <w:bCs/>
          <w:sz w:val="22"/>
          <w:szCs w:val="22"/>
          <w:lang w:val="pl-PL"/>
        </w:rPr>
        <w:t xml:space="preserve"> zarzut NIK, dotyczący rzekomo niegospodarnego i niezgodnego </w:t>
      </w:r>
      <w:r w:rsidR="0054367E">
        <w:rPr>
          <w:rFonts w:asciiTheme="minorHAnsi" w:hAnsiTheme="minorHAnsi"/>
          <w:b/>
          <w:bCs/>
          <w:sz w:val="22"/>
          <w:szCs w:val="22"/>
          <w:lang w:val="pl-PL"/>
        </w:rPr>
        <w:t xml:space="preserve">                       </w:t>
      </w:r>
      <w:r w:rsidRPr="0054367E">
        <w:rPr>
          <w:rFonts w:asciiTheme="minorHAnsi" w:hAnsiTheme="minorHAnsi"/>
          <w:b/>
          <w:bCs/>
          <w:sz w:val="22"/>
          <w:szCs w:val="22"/>
          <w:lang w:val="pl-PL"/>
        </w:rPr>
        <w:t>z umowami dotacji wydatkowania środków z dotacji w związku ze zleceniem Fundacji Profeto.pl usług informatycznych</w:t>
      </w:r>
      <w:r w:rsidRPr="000C3AB4">
        <w:rPr>
          <w:rFonts w:asciiTheme="minorHAnsi" w:hAnsiTheme="minorHAnsi"/>
          <w:sz w:val="22"/>
          <w:szCs w:val="22"/>
          <w:lang w:val="pl-PL"/>
        </w:rPr>
        <w:t xml:space="preserve"> obejmujących</w:t>
      </w:r>
      <w:r>
        <w:rPr>
          <w:rFonts w:asciiTheme="minorHAnsi" w:hAnsiTheme="minorHAnsi"/>
          <w:sz w:val="22"/>
          <w:szCs w:val="22"/>
          <w:lang w:val="pl-PL"/>
        </w:rPr>
        <w:t>:</w:t>
      </w:r>
    </w:p>
    <w:p w14:paraId="01BF11EE" w14:textId="77777777" w:rsidR="0009660B" w:rsidRPr="000C3AB4" w:rsidRDefault="0009660B" w:rsidP="007541FE">
      <w:pPr>
        <w:pStyle w:val="Tekstpodstawowy"/>
        <w:numPr>
          <w:ilvl w:val="0"/>
          <w:numId w:val="2"/>
        </w:numPr>
        <w:spacing w:after="0" w:line="300" w:lineRule="exact"/>
        <w:ind w:left="567" w:hanging="567"/>
        <w:jc w:val="both"/>
        <w:rPr>
          <w:rFonts w:asciiTheme="minorHAnsi" w:hAnsiTheme="minorHAnsi"/>
          <w:sz w:val="22"/>
          <w:szCs w:val="22"/>
          <w:lang w:val="pl-PL"/>
        </w:rPr>
      </w:pPr>
      <w:r w:rsidRPr="000C3AB4">
        <w:rPr>
          <w:rFonts w:asciiTheme="minorHAnsi" w:hAnsiTheme="minorHAnsi"/>
          <w:sz w:val="22"/>
          <w:szCs w:val="22"/>
          <w:lang w:val="pl-PL"/>
        </w:rPr>
        <w:t>koncepcyjne, graficzne i informatyczne opracowanie portalu internetowego Horyzonty.info;</w:t>
      </w:r>
    </w:p>
    <w:p w14:paraId="1A1F8997" w14:textId="77777777" w:rsidR="0009660B" w:rsidRPr="000C3AB4" w:rsidRDefault="0009660B" w:rsidP="007541FE">
      <w:pPr>
        <w:pStyle w:val="Tekstpodstawowy"/>
        <w:numPr>
          <w:ilvl w:val="0"/>
          <w:numId w:val="2"/>
        </w:numPr>
        <w:spacing w:after="0" w:line="300" w:lineRule="exact"/>
        <w:ind w:left="567" w:hanging="567"/>
        <w:jc w:val="both"/>
        <w:rPr>
          <w:rFonts w:asciiTheme="minorHAnsi" w:hAnsiTheme="minorHAnsi"/>
          <w:sz w:val="22"/>
          <w:szCs w:val="22"/>
          <w:lang w:val="pl-PL"/>
        </w:rPr>
      </w:pPr>
      <w:r w:rsidRPr="000C3AB4">
        <w:rPr>
          <w:rFonts w:asciiTheme="minorHAnsi" w:hAnsiTheme="minorHAnsi"/>
          <w:sz w:val="22"/>
          <w:szCs w:val="22"/>
          <w:lang w:val="pl-PL"/>
        </w:rPr>
        <w:t>koncepcyjne i graficzne opracowanie aplikacji mobilnej Horyzonty;</w:t>
      </w:r>
    </w:p>
    <w:p w14:paraId="46EE2D30" w14:textId="77777777" w:rsidR="0009660B" w:rsidRDefault="0009660B" w:rsidP="007541FE">
      <w:pPr>
        <w:pStyle w:val="Tekstpodstawowy"/>
        <w:numPr>
          <w:ilvl w:val="0"/>
          <w:numId w:val="2"/>
        </w:numPr>
        <w:spacing w:after="0" w:line="300" w:lineRule="exact"/>
        <w:ind w:left="567" w:hanging="567"/>
        <w:jc w:val="both"/>
        <w:rPr>
          <w:rFonts w:asciiTheme="minorHAnsi" w:hAnsiTheme="minorHAnsi"/>
          <w:sz w:val="22"/>
          <w:szCs w:val="22"/>
          <w:lang w:val="pl-PL"/>
        </w:rPr>
      </w:pPr>
      <w:r w:rsidRPr="000C3AB4">
        <w:rPr>
          <w:rFonts w:asciiTheme="minorHAnsi" w:hAnsiTheme="minorHAnsi"/>
          <w:sz w:val="22"/>
          <w:szCs w:val="22"/>
          <w:lang w:val="pl-PL"/>
        </w:rPr>
        <w:t>redakcję i techniczne utrzymanie portalu Horyzonty.info oraz na utrzymanie, obsługę i rozwój od strony informatyczno-technicznej tego portalu internetowego</w:t>
      </w:r>
      <w:r w:rsidR="000C3AB4">
        <w:rPr>
          <w:rFonts w:asciiTheme="minorHAnsi" w:hAnsiTheme="minorHAnsi"/>
          <w:sz w:val="22"/>
          <w:szCs w:val="22"/>
          <w:lang w:val="pl-PL"/>
        </w:rPr>
        <w:t>.</w:t>
      </w:r>
    </w:p>
    <w:p w14:paraId="3A487848" w14:textId="77777777" w:rsidR="000C3AB4" w:rsidRDefault="000C3AB4" w:rsidP="007541FE">
      <w:pPr>
        <w:pStyle w:val="Tekstpodstawowy"/>
        <w:spacing w:after="0" w:line="300" w:lineRule="exact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093B46F0" w14:textId="77777777" w:rsidR="0054367E" w:rsidRDefault="000C3AB4" w:rsidP="007541FE">
      <w:pPr>
        <w:pStyle w:val="Tekstpodstawowy"/>
        <w:spacing w:after="0" w:line="300" w:lineRule="exact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W tym kontekście NIK twierdzi, jakoby ceny rynkowe za te świadczenia były dużo niższe aniżeli ceny ustalone w umowie z Fundacją Profeto.pl. Do przedstawionej przez NIK opinii biegłego Fundacja</w:t>
      </w:r>
      <w:r w:rsidR="0054367E">
        <w:rPr>
          <w:rFonts w:asciiTheme="minorHAnsi" w:hAnsiTheme="minorHAnsi"/>
          <w:sz w:val="22"/>
          <w:szCs w:val="22"/>
          <w:lang w:val="pl-PL"/>
        </w:rPr>
        <w:t xml:space="preserve"> Alegoria</w:t>
      </w:r>
      <w:r>
        <w:rPr>
          <w:rFonts w:asciiTheme="minorHAnsi" w:hAnsiTheme="minorHAnsi"/>
          <w:sz w:val="22"/>
          <w:szCs w:val="22"/>
          <w:lang w:val="pl-PL"/>
        </w:rPr>
        <w:t xml:space="preserve"> wniosła szereg zarzutów, gdyż w naszej ocenie </w:t>
      </w:r>
      <w:r w:rsidR="0009660B" w:rsidRPr="000C3AB4">
        <w:rPr>
          <w:rFonts w:asciiTheme="minorHAnsi" w:hAnsiTheme="minorHAnsi"/>
          <w:sz w:val="22"/>
          <w:szCs w:val="22"/>
          <w:lang w:val="pl-PL"/>
        </w:rPr>
        <w:t xml:space="preserve">opinia </w:t>
      </w:r>
      <w:r>
        <w:rPr>
          <w:rFonts w:asciiTheme="minorHAnsi" w:hAnsiTheme="minorHAnsi"/>
          <w:sz w:val="22"/>
          <w:szCs w:val="22"/>
          <w:lang w:val="pl-PL"/>
        </w:rPr>
        <w:t xml:space="preserve">ta </w:t>
      </w:r>
      <w:r w:rsidR="0009660B" w:rsidRPr="000C3AB4">
        <w:rPr>
          <w:rFonts w:asciiTheme="minorHAnsi" w:hAnsiTheme="minorHAnsi"/>
          <w:sz w:val="22"/>
          <w:szCs w:val="22"/>
          <w:lang w:val="pl-PL"/>
        </w:rPr>
        <w:t xml:space="preserve">nosi cechy opinii nierzetelnej, niekompletnej i niewiarygodnej. </w:t>
      </w:r>
      <w:r w:rsidR="0054367E">
        <w:rPr>
          <w:rFonts w:asciiTheme="minorHAnsi" w:hAnsiTheme="minorHAnsi"/>
          <w:sz w:val="22"/>
          <w:szCs w:val="22"/>
          <w:lang w:val="pl-PL"/>
        </w:rPr>
        <w:t>Jednak d</w:t>
      </w:r>
      <w:r>
        <w:rPr>
          <w:rFonts w:asciiTheme="minorHAnsi" w:hAnsiTheme="minorHAnsi"/>
          <w:sz w:val="22"/>
          <w:szCs w:val="22"/>
          <w:lang w:val="pl-PL"/>
        </w:rPr>
        <w:t xml:space="preserve">o podniesionej przez nas argumentacji NIK w żaden sposób się nie odniósł, </w:t>
      </w:r>
      <w:r w:rsidR="0009660B" w:rsidRPr="000C3AB4">
        <w:rPr>
          <w:rFonts w:asciiTheme="minorHAnsi" w:hAnsiTheme="minorHAnsi"/>
          <w:sz w:val="22"/>
          <w:szCs w:val="22"/>
          <w:lang w:val="pl-PL"/>
        </w:rPr>
        <w:t xml:space="preserve">odrzucając tak istotne argumenty Fundacji, jak doskonale znana NIK okoliczność, że </w:t>
      </w:r>
      <w:r w:rsidR="007541FE">
        <w:rPr>
          <w:rFonts w:asciiTheme="minorHAnsi" w:hAnsiTheme="minorHAnsi"/>
          <w:sz w:val="22"/>
          <w:szCs w:val="22"/>
          <w:lang w:val="pl-PL"/>
        </w:rPr>
        <w:t xml:space="preserve">                    </w:t>
      </w:r>
      <w:r w:rsidR="0009660B" w:rsidRPr="000D6576">
        <w:rPr>
          <w:rFonts w:asciiTheme="minorHAnsi" w:hAnsiTheme="minorHAnsi"/>
          <w:b/>
          <w:bCs/>
          <w:sz w:val="22"/>
          <w:szCs w:val="22"/>
          <w:lang w:val="pl-PL"/>
        </w:rPr>
        <w:t xml:space="preserve">w odpowiedzi na ogłoszenie Fundacji </w:t>
      </w:r>
      <w:r w:rsidR="000D6576">
        <w:rPr>
          <w:rFonts w:asciiTheme="minorHAnsi" w:hAnsiTheme="minorHAnsi"/>
          <w:b/>
          <w:bCs/>
          <w:sz w:val="22"/>
          <w:szCs w:val="22"/>
          <w:lang w:val="pl-PL"/>
        </w:rPr>
        <w:t xml:space="preserve">Alegoria </w:t>
      </w:r>
      <w:r w:rsidR="0009660B" w:rsidRPr="000D6576">
        <w:rPr>
          <w:rFonts w:asciiTheme="minorHAnsi" w:hAnsiTheme="minorHAnsi"/>
          <w:b/>
          <w:bCs/>
          <w:sz w:val="22"/>
          <w:szCs w:val="22"/>
          <w:lang w:val="pl-PL"/>
        </w:rPr>
        <w:t>wpłynęły cztery oferty czterech różnych</w:t>
      </w:r>
      <w:r w:rsidR="000D6576">
        <w:rPr>
          <w:rFonts w:asciiTheme="minorHAnsi" w:hAnsiTheme="minorHAnsi"/>
          <w:b/>
          <w:bCs/>
          <w:sz w:val="22"/>
          <w:szCs w:val="22"/>
          <w:lang w:val="pl-PL"/>
        </w:rPr>
        <w:t xml:space="preserve"> niepowiązanych</w:t>
      </w:r>
      <w:r w:rsidR="0009660B" w:rsidRPr="000D6576">
        <w:rPr>
          <w:rFonts w:asciiTheme="minorHAnsi" w:hAnsiTheme="minorHAnsi"/>
          <w:b/>
          <w:bCs/>
          <w:sz w:val="22"/>
          <w:szCs w:val="22"/>
          <w:lang w:val="pl-PL"/>
        </w:rPr>
        <w:t xml:space="preserve"> podmiotów oferujących wykonanie zleconych ostatecznie Fundacji Profeto.pl (i to z uwagi na najniższą cenę) świadczeń, po stawkach zbliżonych do tych oferowanych przez Fundację Profeto.pl</w:t>
      </w:r>
      <w:r w:rsidR="007541FE">
        <w:rPr>
          <w:rFonts w:asciiTheme="minorHAnsi" w:hAnsiTheme="minorHAnsi"/>
          <w:sz w:val="22"/>
          <w:szCs w:val="22"/>
          <w:lang w:val="pl-PL"/>
        </w:rPr>
        <w:t xml:space="preserve"> -</w:t>
      </w:r>
      <w:r>
        <w:rPr>
          <w:rFonts w:asciiTheme="minorHAnsi" w:hAnsiTheme="minorHAnsi"/>
          <w:sz w:val="22"/>
          <w:szCs w:val="22"/>
          <w:lang w:val="pl-PL"/>
        </w:rPr>
        <w:t xml:space="preserve"> co</w:t>
      </w:r>
      <w:r w:rsidR="0009660B" w:rsidRPr="000C3AB4">
        <w:rPr>
          <w:rFonts w:asciiTheme="minorHAnsi" w:hAnsi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/>
          <w:sz w:val="22"/>
          <w:szCs w:val="22"/>
          <w:lang w:val="pl-PL"/>
        </w:rPr>
        <w:t>r</w:t>
      </w:r>
      <w:r w:rsidR="0009660B" w:rsidRPr="000C3AB4">
        <w:rPr>
          <w:rFonts w:asciiTheme="minorHAnsi" w:hAnsiTheme="minorHAnsi"/>
          <w:sz w:val="22"/>
          <w:szCs w:val="22"/>
          <w:lang w:val="pl-PL"/>
        </w:rPr>
        <w:t xml:space="preserve">ównież świadczy o oderwaniu od rzeczywistości ustaleń opinii biegłego </w:t>
      </w:r>
      <w:r w:rsidR="007541FE">
        <w:rPr>
          <w:rFonts w:asciiTheme="minorHAnsi" w:hAnsiTheme="minorHAnsi"/>
          <w:sz w:val="22"/>
          <w:szCs w:val="22"/>
          <w:lang w:val="pl-PL"/>
        </w:rPr>
        <w:t xml:space="preserve">powołanego przez NIK </w:t>
      </w:r>
      <w:r w:rsidR="0009660B" w:rsidRPr="000C3AB4">
        <w:rPr>
          <w:rFonts w:asciiTheme="minorHAnsi" w:hAnsiTheme="minorHAnsi"/>
          <w:sz w:val="22"/>
          <w:szCs w:val="22"/>
          <w:lang w:val="pl-PL"/>
        </w:rPr>
        <w:t>w zakresie rynkowej wyceny</w:t>
      </w:r>
      <w:r w:rsidR="000D6576">
        <w:rPr>
          <w:rFonts w:asciiTheme="minorHAnsi" w:hAnsiTheme="minorHAnsi"/>
          <w:sz w:val="22"/>
          <w:szCs w:val="22"/>
          <w:lang w:val="pl-PL"/>
        </w:rPr>
        <w:t xml:space="preserve"> przedmiotowych świadczeń</w:t>
      </w:r>
      <w:r w:rsidR="0009660B" w:rsidRPr="000C3AB4">
        <w:rPr>
          <w:rFonts w:asciiTheme="minorHAnsi" w:hAnsiTheme="minorHAnsi"/>
          <w:sz w:val="22"/>
          <w:szCs w:val="22"/>
          <w:lang w:val="pl-PL"/>
        </w:rPr>
        <w:t>.</w:t>
      </w:r>
      <w:r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7541FE">
        <w:rPr>
          <w:rFonts w:asciiTheme="minorHAnsi" w:hAnsiTheme="minorHAnsi"/>
          <w:b/>
          <w:bCs/>
          <w:sz w:val="22"/>
          <w:szCs w:val="22"/>
          <w:lang w:val="pl-PL"/>
        </w:rPr>
        <w:t xml:space="preserve">Fundacja Alegoria przedstawiła również </w:t>
      </w:r>
      <w:proofErr w:type="spellStart"/>
      <w:r w:rsidRPr="007541FE">
        <w:rPr>
          <w:rFonts w:asciiTheme="minorHAnsi" w:hAnsiTheme="minorHAnsi"/>
          <w:b/>
          <w:bCs/>
          <w:sz w:val="22"/>
          <w:szCs w:val="22"/>
          <w:lang w:val="pl-PL"/>
        </w:rPr>
        <w:t>kontropinię</w:t>
      </w:r>
      <w:proofErr w:type="spellEnd"/>
      <w:r w:rsidRPr="007541FE">
        <w:rPr>
          <w:rFonts w:asciiTheme="minorHAnsi" w:hAnsiTheme="minorHAnsi"/>
          <w:b/>
          <w:bCs/>
          <w:sz w:val="22"/>
          <w:szCs w:val="22"/>
          <w:lang w:val="pl-PL"/>
        </w:rPr>
        <w:t xml:space="preserve"> eksperta</w:t>
      </w:r>
      <w:r w:rsidRPr="007541FE">
        <w:rPr>
          <w:rFonts w:asciiTheme="minorHAnsi" w:hAnsiTheme="minorHAnsi"/>
          <w:sz w:val="22"/>
          <w:szCs w:val="22"/>
          <w:lang w:val="pl-PL"/>
        </w:rPr>
        <w:t xml:space="preserve">, potwierdzającą, że wycena przedstawiona przez biegłego powołanego </w:t>
      </w:r>
      <w:r w:rsidRPr="007541FE">
        <w:rPr>
          <w:rFonts w:asciiTheme="minorHAnsi" w:hAnsiTheme="minorHAnsi"/>
          <w:sz w:val="22"/>
          <w:szCs w:val="22"/>
          <w:lang w:val="pl-PL"/>
        </w:rPr>
        <w:lastRenderedPageBreak/>
        <w:t>przez NIK była zaniżona w stosunku do rzeczywistych stawek rynkowych i  zawierała krytyczne błędy</w:t>
      </w:r>
      <w:r w:rsidRPr="000C3AB4">
        <w:rPr>
          <w:rFonts w:asciiTheme="minorHAnsi" w:hAnsiTheme="minorHAnsi"/>
          <w:sz w:val="22"/>
          <w:szCs w:val="22"/>
          <w:lang w:val="pl-PL"/>
        </w:rPr>
        <w:t>, o których mowa była w przedłożonych przez Fundację Alegoria zastrzeżeniach do wystąpienia pokontrolnego NIK</w:t>
      </w:r>
      <w:r w:rsidR="0054367E">
        <w:rPr>
          <w:rFonts w:asciiTheme="minorHAnsi" w:hAnsiTheme="minorHAnsi"/>
          <w:sz w:val="22"/>
          <w:szCs w:val="22"/>
          <w:lang w:val="pl-PL"/>
        </w:rPr>
        <w:t xml:space="preserve">. Podkreślić należy również i ten fakt, że wycena </w:t>
      </w:r>
      <w:r w:rsidR="007541FE">
        <w:rPr>
          <w:rFonts w:asciiTheme="minorHAnsi" w:hAnsiTheme="minorHAnsi"/>
          <w:sz w:val="22"/>
          <w:szCs w:val="22"/>
          <w:lang w:val="pl-PL"/>
        </w:rPr>
        <w:t xml:space="preserve">przedmiotowych świadczeń na takim a nie innym poziomie </w:t>
      </w:r>
      <w:r w:rsidR="0054367E">
        <w:rPr>
          <w:rFonts w:asciiTheme="minorHAnsi" w:hAnsiTheme="minorHAnsi"/>
          <w:sz w:val="22"/>
          <w:szCs w:val="22"/>
          <w:lang w:val="pl-PL"/>
        </w:rPr>
        <w:t>wynikała z kosztorysu przedstawionego przez Fundację Alegoria</w:t>
      </w:r>
      <w:r w:rsidR="007541FE">
        <w:rPr>
          <w:rFonts w:asciiTheme="minorHAnsi" w:hAnsiTheme="minorHAnsi"/>
          <w:sz w:val="22"/>
          <w:szCs w:val="22"/>
          <w:lang w:val="pl-PL"/>
        </w:rPr>
        <w:t xml:space="preserve"> już</w:t>
      </w:r>
      <w:r w:rsidR="0054367E">
        <w:rPr>
          <w:rFonts w:asciiTheme="minorHAnsi" w:hAnsiTheme="minorHAnsi"/>
          <w:sz w:val="22"/>
          <w:szCs w:val="22"/>
          <w:lang w:val="pl-PL"/>
        </w:rPr>
        <w:t xml:space="preserve"> na etapie składania wniosku konkursowego. </w:t>
      </w:r>
      <w:r w:rsidR="0009660B" w:rsidRPr="0054367E">
        <w:rPr>
          <w:rFonts w:asciiTheme="minorHAnsi" w:hAnsiTheme="minorHAnsi"/>
          <w:sz w:val="22"/>
          <w:szCs w:val="22"/>
          <w:lang w:val="pl-PL"/>
        </w:rPr>
        <w:t>Dysponent Funduszu, przyznając dotację celową Fundacji</w:t>
      </w:r>
      <w:r w:rsidR="007541FE">
        <w:rPr>
          <w:rFonts w:asciiTheme="minorHAnsi" w:hAnsiTheme="minorHAnsi"/>
          <w:sz w:val="22"/>
          <w:szCs w:val="22"/>
          <w:lang w:val="pl-PL"/>
        </w:rPr>
        <w:t xml:space="preserve"> Alegoria</w:t>
      </w:r>
      <w:r w:rsidR="0009660B" w:rsidRPr="0054367E">
        <w:rPr>
          <w:rFonts w:asciiTheme="minorHAnsi" w:hAnsiTheme="minorHAnsi"/>
          <w:sz w:val="22"/>
          <w:szCs w:val="22"/>
          <w:lang w:val="pl-PL"/>
        </w:rPr>
        <w:t xml:space="preserve"> na realizację projektu Horyzonty, najwyraźniej również uznał, że kosztorys przedstawiony przez Fundację</w:t>
      </w:r>
      <w:r w:rsidR="0054367E">
        <w:rPr>
          <w:rFonts w:asciiTheme="minorHAnsi" w:hAnsiTheme="minorHAnsi"/>
          <w:sz w:val="22"/>
          <w:szCs w:val="22"/>
          <w:lang w:val="pl-PL"/>
        </w:rPr>
        <w:t xml:space="preserve"> Alegoria</w:t>
      </w:r>
      <w:r w:rsidR="0009660B" w:rsidRPr="0054367E">
        <w:rPr>
          <w:rFonts w:asciiTheme="minorHAnsi" w:hAnsiTheme="minorHAnsi"/>
          <w:sz w:val="22"/>
          <w:szCs w:val="22"/>
          <w:lang w:val="pl-PL"/>
        </w:rPr>
        <w:t xml:space="preserve"> nie jest nadmierny. </w:t>
      </w:r>
    </w:p>
    <w:p w14:paraId="421D246D" w14:textId="77777777" w:rsidR="000D6576" w:rsidRDefault="000D6576" w:rsidP="007541FE">
      <w:pPr>
        <w:pStyle w:val="Tekstpodstawowy"/>
        <w:spacing w:after="0" w:line="300" w:lineRule="exact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20B09624" w14:textId="77777777" w:rsidR="001A06C8" w:rsidRDefault="000D6576" w:rsidP="007541FE">
      <w:pPr>
        <w:pStyle w:val="Tekstpodstawowy"/>
        <w:spacing w:after="0" w:line="300" w:lineRule="exact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Mając na uwadze powyższe, Fundacja Alegoria podejmie stosowne kroki celem </w:t>
      </w:r>
      <w:r w:rsidR="005D0FED">
        <w:rPr>
          <w:rFonts w:asciiTheme="minorHAnsi" w:hAnsiTheme="minorHAnsi"/>
          <w:sz w:val="22"/>
          <w:szCs w:val="22"/>
          <w:lang w:val="pl-PL"/>
        </w:rPr>
        <w:t>udowodnienia</w:t>
      </w:r>
      <w:r w:rsidR="00EC00E9">
        <w:rPr>
          <w:rFonts w:asciiTheme="minorHAnsi" w:hAnsiTheme="minorHAnsi"/>
          <w:sz w:val="22"/>
          <w:szCs w:val="22"/>
          <w:lang w:val="pl-PL"/>
        </w:rPr>
        <w:t>,</w:t>
      </w:r>
      <w:r w:rsidR="005D0FED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EC00E9">
        <w:rPr>
          <w:rFonts w:asciiTheme="minorHAnsi" w:hAnsiTheme="minorHAnsi"/>
          <w:sz w:val="22"/>
          <w:szCs w:val="22"/>
          <w:lang w:val="pl-PL"/>
        </w:rPr>
        <w:t>ż</w:t>
      </w:r>
      <w:r w:rsidR="005D0FED">
        <w:rPr>
          <w:rFonts w:asciiTheme="minorHAnsi" w:hAnsiTheme="minorHAnsi"/>
          <w:sz w:val="22"/>
          <w:szCs w:val="22"/>
          <w:lang w:val="pl-PL"/>
        </w:rPr>
        <w:t xml:space="preserve">e opisane </w:t>
      </w:r>
      <w:r w:rsidR="00EC00E9">
        <w:rPr>
          <w:rFonts w:asciiTheme="minorHAnsi" w:hAnsiTheme="minorHAnsi"/>
          <w:sz w:val="22"/>
          <w:szCs w:val="22"/>
          <w:lang w:val="pl-PL"/>
        </w:rPr>
        <w:t>zastrzeżenia</w:t>
      </w:r>
      <w:r w:rsidR="005D0FED">
        <w:rPr>
          <w:rFonts w:asciiTheme="minorHAnsi" w:hAnsiTheme="minorHAnsi"/>
          <w:sz w:val="22"/>
          <w:szCs w:val="22"/>
          <w:lang w:val="pl-PL"/>
        </w:rPr>
        <w:t xml:space="preserve"> NIK </w:t>
      </w:r>
      <w:r w:rsidR="00EC00E9">
        <w:rPr>
          <w:rFonts w:asciiTheme="minorHAnsi" w:hAnsiTheme="minorHAnsi"/>
          <w:sz w:val="22"/>
          <w:szCs w:val="22"/>
          <w:lang w:val="pl-PL"/>
        </w:rPr>
        <w:t>są</w:t>
      </w:r>
      <w:r w:rsidR="005D0FED">
        <w:rPr>
          <w:rFonts w:asciiTheme="minorHAnsi" w:hAnsiTheme="minorHAnsi"/>
          <w:sz w:val="22"/>
          <w:szCs w:val="22"/>
          <w:lang w:val="pl-PL"/>
        </w:rPr>
        <w:t xml:space="preserve"> bezzasadne. Chcemy w przyszłości nadal </w:t>
      </w:r>
      <w:r>
        <w:rPr>
          <w:rFonts w:asciiTheme="minorHAnsi" w:hAnsiTheme="minorHAnsi"/>
          <w:sz w:val="22"/>
          <w:szCs w:val="22"/>
          <w:lang w:val="pl-PL"/>
        </w:rPr>
        <w:t xml:space="preserve"> realizować </w:t>
      </w:r>
      <w:r w:rsidRPr="000D6576">
        <w:rPr>
          <w:rFonts w:asciiTheme="minorHAnsi" w:hAnsiTheme="minorHAnsi"/>
          <w:sz w:val="22"/>
          <w:szCs w:val="22"/>
          <w:lang w:val="pl-PL"/>
        </w:rPr>
        <w:t>programy wsparcia dla osób w kryzysach relacyjnych, rodzinnych i społecznych</w:t>
      </w:r>
      <w:r>
        <w:rPr>
          <w:rFonts w:asciiTheme="minorHAnsi" w:hAnsiTheme="minorHAnsi"/>
          <w:sz w:val="22"/>
          <w:szCs w:val="22"/>
          <w:lang w:val="pl-PL"/>
        </w:rPr>
        <w:t xml:space="preserve">, </w:t>
      </w:r>
      <w:r w:rsidRPr="000D6576">
        <w:rPr>
          <w:rFonts w:asciiTheme="minorHAnsi" w:hAnsiTheme="minorHAnsi"/>
          <w:sz w:val="22"/>
          <w:szCs w:val="22"/>
          <w:lang w:val="pl-PL"/>
        </w:rPr>
        <w:t>programy wspierające osoby w kryzysie spowodowanym traumatycznymi doświadczeniami</w:t>
      </w:r>
      <w:r>
        <w:rPr>
          <w:rFonts w:asciiTheme="minorHAnsi" w:hAnsiTheme="minorHAnsi"/>
          <w:sz w:val="22"/>
          <w:szCs w:val="22"/>
          <w:lang w:val="pl-PL"/>
        </w:rPr>
        <w:t xml:space="preserve">, </w:t>
      </w:r>
      <w:r w:rsidRPr="000D6576">
        <w:rPr>
          <w:rFonts w:asciiTheme="minorHAnsi" w:hAnsiTheme="minorHAnsi"/>
          <w:sz w:val="22"/>
          <w:szCs w:val="22"/>
          <w:lang w:val="pl-PL"/>
        </w:rPr>
        <w:t>długofalowe programy pracy z dziećmi i młodzieżą</w:t>
      </w:r>
      <w:r>
        <w:rPr>
          <w:rFonts w:asciiTheme="minorHAnsi" w:hAnsiTheme="minorHAnsi"/>
          <w:sz w:val="22"/>
          <w:szCs w:val="22"/>
          <w:lang w:val="pl-PL"/>
        </w:rPr>
        <w:t xml:space="preserve">, programy wsparcia rodzin, jak również </w:t>
      </w:r>
      <w:r w:rsidRPr="000D6576">
        <w:rPr>
          <w:rFonts w:asciiTheme="minorHAnsi" w:hAnsiTheme="minorHAnsi"/>
          <w:sz w:val="22"/>
          <w:szCs w:val="22"/>
          <w:lang w:val="pl-PL"/>
        </w:rPr>
        <w:t>wydarzenia o charakterze profilaktycznym uświadamiające społeczeństwo co do przyczyn i skutków łamania norm życia społecznego</w:t>
      </w:r>
      <w:r>
        <w:rPr>
          <w:rFonts w:asciiTheme="minorHAnsi" w:hAnsiTheme="minorHAnsi"/>
          <w:sz w:val="22"/>
          <w:szCs w:val="22"/>
          <w:lang w:val="pl-PL"/>
        </w:rPr>
        <w:t xml:space="preserve">. Ze smutkiem odnotowując przeciwności związane z obecną sytuacją polityczną, jesteśmy przekonani, że nasza działalność przynosi znaczące korzyści społeczne i pragniemy ją kontynuować. </w:t>
      </w:r>
    </w:p>
    <w:p w14:paraId="16B953F4" w14:textId="77777777" w:rsidR="001A06C8" w:rsidRDefault="001A06C8" w:rsidP="007541FE">
      <w:pPr>
        <w:pStyle w:val="Tekstpodstawowy"/>
        <w:spacing w:after="0" w:line="300" w:lineRule="exact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730B4F1F" w14:textId="01FACA06" w:rsidR="0054367E" w:rsidRDefault="000D6576" w:rsidP="007541FE">
      <w:pPr>
        <w:pStyle w:val="Tekstpodstawowy"/>
        <w:spacing w:after="0" w:line="300" w:lineRule="exact"/>
        <w:jc w:val="both"/>
        <w:rPr>
          <w:rFonts w:asciiTheme="minorHAnsi" w:hAnsiTheme="minorHAnsi"/>
          <w:b/>
          <w:bCs/>
          <w:sz w:val="22"/>
          <w:szCs w:val="22"/>
          <w:lang w:val="pl-PL"/>
        </w:rPr>
      </w:pPr>
      <w:r w:rsidRPr="000D6576">
        <w:rPr>
          <w:rFonts w:asciiTheme="minorHAnsi" w:hAnsiTheme="minorHAnsi"/>
          <w:b/>
          <w:bCs/>
          <w:sz w:val="22"/>
          <w:szCs w:val="22"/>
          <w:lang w:val="pl-PL"/>
        </w:rPr>
        <w:t xml:space="preserve">Nie </w:t>
      </w:r>
      <w:r>
        <w:rPr>
          <w:rFonts w:asciiTheme="minorHAnsi" w:hAnsiTheme="minorHAnsi"/>
          <w:b/>
          <w:bCs/>
          <w:sz w:val="22"/>
          <w:szCs w:val="22"/>
          <w:lang w:val="pl-PL"/>
        </w:rPr>
        <w:t>uznajemy</w:t>
      </w:r>
      <w:r w:rsidR="001A06C8">
        <w:rPr>
          <w:rFonts w:asciiTheme="minorHAnsi" w:hAnsiTheme="minorHAnsi"/>
          <w:b/>
          <w:bCs/>
          <w:sz w:val="22"/>
          <w:szCs w:val="22"/>
          <w:lang w:val="pl-PL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pl-PL"/>
        </w:rPr>
        <w:t>zarzutów N</w:t>
      </w:r>
      <w:r w:rsidR="001A06C8">
        <w:rPr>
          <w:rFonts w:asciiTheme="minorHAnsi" w:hAnsiTheme="minorHAnsi"/>
          <w:b/>
          <w:bCs/>
          <w:sz w:val="22"/>
          <w:szCs w:val="22"/>
          <w:lang w:val="pl-PL"/>
        </w:rPr>
        <w:t xml:space="preserve">ajwyższej </w:t>
      </w:r>
      <w:r>
        <w:rPr>
          <w:rFonts w:asciiTheme="minorHAnsi" w:hAnsiTheme="minorHAnsi"/>
          <w:b/>
          <w:bCs/>
          <w:sz w:val="22"/>
          <w:szCs w:val="22"/>
          <w:lang w:val="pl-PL"/>
        </w:rPr>
        <w:t>I</w:t>
      </w:r>
      <w:r w:rsidR="001A06C8">
        <w:rPr>
          <w:rFonts w:asciiTheme="minorHAnsi" w:hAnsiTheme="minorHAnsi"/>
          <w:b/>
          <w:bCs/>
          <w:sz w:val="22"/>
          <w:szCs w:val="22"/>
          <w:lang w:val="pl-PL"/>
        </w:rPr>
        <w:t xml:space="preserve">zby </w:t>
      </w:r>
      <w:r>
        <w:rPr>
          <w:rFonts w:asciiTheme="minorHAnsi" w:hAnsiTheme="minorHAnsi"/>
          <w:b/>
          <w:bCs/>
          <w:sz w:val="22"/>
          <w:szCs w:val="22"/>
          <w:lang w:val="pl-PL"/>
        </w:rPr>
        <w:t>K</w:t>
      </w:r>
      <w:r w:rsidR="001A06C8">
        <w:rPr>
          <w:rFonts w:asciiTheme="minorHAnsi" w:hAnsiTheme="minorHAnsi"/>
          <w:b/>
          <w:bCs/>
          <w:sz w:val="22"/>
          <w:szCs w:val="22"/>
          <w:lang w:val="pl-PL"/>
        </w:rPr>
        <w:t>ontroli</w:t>
      </w:r>
      <w:r>
        <w:rPr>
          <w:rFonts w:asciiTheme="minorHAnsi" w:hAnsiTheme="minorHAnsi"/>
          <w:b/>
          <w:bCs/>
          <w:sz w:val="22"/>
          <w:szCs w:val="22"/>
          <w:lang w:val="pl-PL"/>
        </w:rPr>
        <w:t xml:space="preserve"> </w:t>
      </w:r>
      <w:r w:rsidR="00ED0BC8">
        <w:rPr>
          <w:rFonts w:asciiTheme="minorHAnsi" w:hAnsiTheme="minorHAnsi"/>
          <w:b/>
          <w:bCs/>
          <w:sz w:val="22"/>
          <w:szCs w:val="22"/>
          <w:lang w:val="pl-PL"/>
        </w:rPr>
        <w:t xml:space="preserve">i będziemy walczyć o nasze dobre imię </w:t>
      </w:r>
      <w:r w:rsidR="007541FE">
        <w:rPr>
          <w:rFonts w:asciiTheme="minorHAnsi" w:hAnsiTheme="minorHAnsi"/>
          <w:b/>
          <w:bCs/>
          <w:sz w:val="22"/>
          <w:szCs w:val="22"/>
          <w:lang w:val="pl-PL"/>
        </w:rPr>
        <w:t>oraz</w:t>
      </w:r>
      <w:r w:rsidR="00ED0BC8">
        <w:rPr>
          <w:rFonts w:asciiTheme="minorHAnsi" w:hAnsiTheme="minorHAnsi"/>
          <w:b/>
          <w:bCs/>
          <w:sz w:val="22"/>
          <w:szCs w:val="22"/>
          <w:lang w:val="pl-PL"/>
        </w:rPr>
        <w:t xml:space="preserve"> możliwość realizacji społecznie użytecznych inicjatyw.</w:t>
      </w:r>
    </w:p>
    <w:p w14:paraId="04B9B42E" w14:textId="77777777" w:rsidR="00CD078D" w:rsidRDefault="00CD078D" w:rsidP="007541FE">
      <w:pPr>
        <w:pStyle w:val="Tekstpodstawowy"/>
        <w:spacing w:after="0" w:line="300" w:lineRule="exact"/>
        <w:jc w:val="both"/>
        <w:rPr>
          <w:rFonts w:asciiTheme="minorHAnsi" w:hAnsiTheme="minorHAnsi"/>
          <w:b/>
          <w:bCs/>
          <w:sz w:val="22"/>
          <w:szCs w:val="22"/>
          <w:lang w:val="pl-PL"/>
        </w:rPr>
      </w:pPr>
    </w:p>
    <w:p w14:paraId="63C550F1" w14:textId="77777777" w:rsidR="00CD078D" w:rsidRDefault="00CD078D" w:rsidP="007541FE">
      <w:pPr>
        <w:pStyle w:val="Tekstpodstawowy"/>
        <w:spacing w:after="0" w:line="300" w:lineRule="exact"/>
        <w:jc w:val="both"/>
        <w:rPr>
          <w:rFonts w:asciiTheme="minorHAnsi" w:hAnsiTheme="minorHAnsi"/>
          <w:b/>
          <w:bCs/>
          <w:sz w:val="22"/>
          <w:szCs w:val="22"/>
          <w:lang w:val="pl-PL"/>
        </w:rPr>
      </w:pPr>
    </w:p>
    <w:p w14:paraId="77127C7C" w14:textId="6470853D" w:rsidR="00CD078D" w:rsidRPr="00CD078D" w:rsidRDefault="00CD078D" w:rsidP="007541FE">
      <w:pPr>
        <w:pStyle w:val="Tekstpodstawowy"/>
        <w:spacing w:after="0" w:line="300" w:lineRule="exact"/>
        <w:jc w:val="both"/>
        <w:rPr>
          <w:rFonts w:asciiTheme="minorHAnsi" w:hAnsiTheme="minorHAnsi"/>
          <w:sz w:val="22"/>
          <w:szCs w:val="22"/>
          <w:lang w:val="pl-PL"/>
        </w:rPr>
      </w:pPr>
      <w:r w:rsidRPr="00CD078D">
        <w:rPr>
          <w:rFonts w:asciiTheme="minorHAnsi" w:hAnsiTheme="minorHAnsi"/>
          <w:sz w:val="22"/>
          <w:szCs w:val="22"/>
          <w:lang w:val="pl-PL"/>
        </w:rPr>
        <w:t>Tarnów, 30.05.2025</w:t>
      </w:r>
    </w:p>
    <w:p w14:paraId="13E75D30" w14:textId="77777777" w:rsidR="0009660B" w:rsidRPr="0054367E" w:rsidRDefault="0009660B" w:rsidP="007541FE">
      <w:pPr>
        <w:pStyle w:val="Tekstpodstawowy"/>
        <w:spacing w:after="0" w:line="300" w:lineRule="exact"/>
        <w:ind w:left="709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2DEEB6E8" w14:textId="77777777" w:rsidR="0009660B" w:rsidRPr="0054367E" w:rsidRDefault="0009660B" w:rsidP="007541FE">
      <w:pPr>
        <w:jc w:val="both"/>
        <w:rPr>
          <w:rFonts w:eastAsia="Times New Roman" w:cs="Times New Roman"/>
          <w:lang w:eastAsia="ar-SA"/>
        </w:rPr>
      </w:pPr>
    </w:p>
    <w:sectPr w:rsidR="0009660B" w:rsidRPr="005436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0F954" w14:textId="77777777" w:rsidR="00827D74" w:rsidRDefault="00827D74" w:rsidP="0009660B">
      <w:pPr>
        <w:spacing w:after="0" w:line="240" w:lineRule="auto"/>
      </w:pPr>
      <w:r>
        <w:separator/>
      </w:r>
    </w:p>
  </w:endnote>
  <w:endnote w:type="continuationSeparator" w:id="0">
    <w:p w14:paraId="65C9B751" w14:textId="77777777" w:rsidR="00827D74" w:rsidRDefault="00827D74" w:rsidP="0009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9693765"/>
      <w:docPartObj>
        <w:docPartGallery w:val="Page Numbers (Bottom of Page)"/>
        <w:docPartUnique/>
      </w:docPartObj>
    </w:sdtPr>
    <w:sdtContent>
      <w:p w14:paraId="2B9F76B4" w14:textId="77777777" w:rsidR="0054367E" w:rsidRDefault="005436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9991FD" w14:textId="77777777" w:rsidR="0054367E" w:rsidRDefault="005436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56B16" w14:textId="77777777" w:rsidR="00827D74" w:rsidRDefault="00827D74" w:rsidP="0009660B">
      <w:pPr>
        <w:spacing w:after="0" w:line="240" w:lineRule="auto"/>
      </w:pPr>
      <w:r>
        <w:separator/>
      </w:r>
    </w:p>
  </w:footnote>
  <w:footnote w:type="continuationSeparator" w:id="0">
    <w:p w14:paraId="63E5B29A" w14:textId="77777777" w:rsidR="00827D74" w:rsidRDefault="00827D74" w:rsidP="00096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3808"/>
    <w:multiLevelType w:val="hybridMultilevel"/>
    <w:tmpl w:val="A1DE3CC4"/>
    <w:lvl w:ilvl="0" w:tplc="769813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E1437F"/>
    <w:multiLevelType w:val="hybridMultilevel"/>
    <w:tmpl w:val="41B63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40814"/>
    <w:multiLevelType w:val="hybridMultilevel"/>
    <w:tmpl w:val="4F82B5F8"/>
    <w:lvl w:ilvl="0" w:tplc="769813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5209F4"/>
    <w:multiLevelType w:val="hybridMultilevel"/>
    <w:tmpl w:val="ED3CAB18"/>
    <w:lvl w:ilvl="0" w:tplc="769813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A8153B"/>
    <w:multiLevelType w:val="hybridMultilevel"/>
    <w:tmpl w:val="6FD84956"/>
    <w:lvl w:ilvl="0" w:tplc="769813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160BD"/>
    <w:multiLevelType w:val="hybridMultilevel"/>
    <w:tmpl w:val="040A7634"/>
    <w:lvl w:ilvl="0" w:tplc="769813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E825FE"/>
    <w:multiLevelType w:val="hybridMultilevel"/>
    <w:tmpl w:val="32787D50"/>
    <w:lvl w:ilvl="0" w:tplc="769813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9E5680"/>
    <w:multiLevelType w:val="hybridMultilevel"/>
    <w:tmpl w:val="BD2E3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631F4"/>
    <w:multiLevelType w:val="hybridMultilevel"/>
    <w:tmpl w:val="0824A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C49DD"/>
    <w:multiLevelType w:val="hybridMultilevel"/>
    <w:tmpl w:val="BA7A6D42"/>
    <w:lvl w:ilvl="0" w:tplc="769813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5B459A0"/>
    <w:multiLevelType w:val="hybridMultilevel"/>
    <w:tmpl w:val="1D3608C4"/>
    <w:lvl w:ilvl="0" w:tplc="B546F166">
      <w:start w:val="1"/>
      <w:numFmt w:val="decimal"/>
      <w:lvlText w:val="%1."/>
      <w:lvlJc w:val="left"/>
      <w:pPr>
        <w:ind w:left="837" w:hanging="360"/>
      </w:pPr>
      <w:rPr>
        <w:rFonts w:hint="default"/>
        <w:spacing w:val="0"/>
        <w:w w:val="100"/>
        <w:lang w:val="pl-PL" w:eastAsia="en-US" w:bidi="ar-SA"/>
      </w:rPr>
    </w:lvl>
    <w:lvl w:ilvl="1" w:tplc="776E55E4">
      <w:numFmt w:val="bullet"/>
      <w:lvlText w:val="•"/>
      <w:lvlJc w:val="left"/>
      <w:pPr>
        <w:ind w:left="837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4"/>
        <w:szCs w:val="24"/>
        <w:lang w:val="pl-PL" w:eastAsia="en-US" w:bidi="ar-SA"/>
      </w:rPr>
    </w:lvl>
    <w:lvl w:ilvl="2" w:tplc="8DB84EDE">
      <w:numFmt w:val="bullet"/>
      <w:lvlText w:val="•"/>
      <w:lvlJc w:val="left"/>
      <w:pPr>
        <w:ind w:left="1265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4"/>
        <w:szCs w:val="24"/>
        <w:lang w:val="pl-PL" w:eastAsia="en-US" w:bidi="ar-SA"/>
      </w:rPr>
    </w:lvl>
    <w:lvl w:ilvl="3" w:tplc="27321A34">
      <w:numFmt w:val="bullet"/>
      <w:lvlText w:val="•"/>
      <w:lvlJc w:val="left"/>
      <w:pPr>
        <w:ind w:left="3055" w:hanging="360"/>
      </w:pPr>
      <w:rPr>
        <w:rFonts w:hint="default"/>
        <w:lang w:val="pl-PL" w:eastAsia="en-US" w:bidi="ar-SA"/>
      </w:rPr>
    </w:lvl>
    <w:lvl w:ilvl="4" w:tplc="C188FC6A">
      <w:numFmt w:val="bullet"/>
      <w:lvlText w:val="•"/>
      <w:lvlJc w:val="left"/>
      <w:pPr>
        <w:ind w:left="3953" w:hanging="360"/>
      </w:pPr>
      <w:rPr>
        <w:rFonts w:hint="default"/>
        <w:lang w:val="pl-PL" w:eastAsia="en-US" w:bidi="ar-SA"/>
      </w:rPr>
    </w:lvl>
    <w:lvl w:ilvl="5" w:tplc="FFD8976E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BF8CE1D0">
      <w:numFmt w:val="bullet"/>
      <w:lvlText w:val="•"/>
      <w:lvlJc w:val="left"/>
      <w:pPr>
        <w:ind w:left="5748" w:hanging="360"/>
      </w:pPr>
      <w:rPr>
        <w:rFonts w:hint="default"/>
        <w:lang w:val="pl-PL" w:eastAsia="en-US" w:bidi="ar-SA"/>
      </w:rPr>
    </w:lvl>
    <w:lvl w:ilvl="7" w:tplc="902EC254">
      <w:numFmt w:val="bullet"/>
      <w:lvlText w:val="•"/>
      <w:lvlJc w:val="left"/>
      <w:pPr>
        <w:ind w:left="6646" w:hanging="360"/>
      </w:pPr>
      <w:rPr>
        <w:rFonts w:hint="default"/>
        <w:lang w:val="pl-PL" w:eastAsia="en-US" w:bidi="ar-SA"/>
      </w:rPr>
    </w:lvl>
    <w:lvl w:ilvl="8" w:tplc="C7AEFCA2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49FD44AC"/>
    <w:multiLevelType w:val="hybridMultilevel"/>
    <w:tmpl w:val="78C6C910"/>
    <w:lvl w:ilvl="0" w:tplc="769813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CA65170"/>
    <w:multiLevelType w:val="hybridMultilevel"/>
    <w:tmpl w:val="EFBA7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4E99780C"/>
    <w:multiLevelType w:val="hybridMultilevel"/>
    <w:tmpl w:val="64DA8AFC"/>
    <w:lvl w:ilvl="0" w:tplc="769813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64323D"/>
    <w:multiLevelType w:val="hybridMultilevel"/>
    <w:tmpl w:val="6662427E"/>
    <w:lvl w:ilvl="0" w:tplc="769813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6703B"/>
    <w:multiLevelType w:val="hybridMultilevel"/>
    <w:tmpl w:val="BC488AB0"/>
    <w:lvl w:ilvl="0" w:tplc="769813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DB0435D"/>
    <w:multiLevelType w:val="hybridMultilevel"/>
    <w:tmpl w:val="A934BC38"/>
    <w:lvl w:ilvl="0" w:tplc="769813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4BD3E7C"/>
    <w:multiLevelType w:val="hybridMultilevel"/>
    <w:tmpl w:val="DD441FE6"/>
    <w:lvl w:ilvl="0" w:tplc="769813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B6E6E0C"/>
    <w:multiLevelType w:val="hybridMultilevel"/>
    <w:tmpl w:val="038453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C778A"/>
    <w:multiLevelType w:val="hybridMultilevel"/>
    <w:tmpl w:val="839ED4D8"/>
    <w:lvl w:ilvl="0" w:tplc="769813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365671">
    <w:abstractNumId w:val="10"/>
  </w:num>
  <w:num w:numId="2" w16cid:durableId="1589079041">
    <w:abstractNumId w:val="4"/>
  </w:num>
  <w:num w:numId="3" w16cid:durableId="1263145257">
    <w:abstractNumId w:val="1"/>
  </w:num>
  <w:num w:numId="4" w16cid:durableId="1921983302">
    <w:abstractNumId w:val="18"/>
  </w:num>
  <w:num w:numId="5" w16cid:durableId="830827323">
    <w:abstractNumId w:val="9"/>
  </w:num>
  <w:num w:numId="6" w16cid:durableId="836505449">
    <w:abstractNumId w:val="5"/>
  </w:num>
  <w:num w:numId="7" w16cid:durableId="196084746">
    <w:abstractNumId w:val="15"/>
  </w:num>
  <w:num w:numId="8" w16cid:durableId="1702978734">
    <w:abstractNumId w:val="0"/>
  </w:num>
  <w:num w:numId="9" w16cid:durableId="790899565">
    <w:abstractNumId w:val="17"/>
  </w:num>
  <w:num w:numId="10" w16cid:durableId="1518885608">
    <w:abstractNumId w:val="2"/>
  </w:num>
  <w:num w:numId="11" w16cid:durableId="1544248537">
    <w:abstractNumId w:val="6"/>
  </w:num>
  <w:num w:numId="12" w16cid:durableId="2047676128">
    <w:abstractNumId w:val="11"/>
  </w:num>
  <w:num w:numId="13" w16cid:durableId="720249663">
    <w:abstractNumId w:val="16"/>
  </w:num>
  <w:num w:numId="14" w16cid:durableId="1961837881">
    <w:abstractNumId w:val="13"/>
  </w:num>
  <w:num w:numId="15" w16cid:durableId="2080127745">
    <w:abstractNumId w:val="3"/>
  </w:num>
  <w:num w:numId="16" w16cid:durableId="815487357">
    <w:abstractNumId w:val="8"/>
  </w:num>
  <w:num w:numId="17" w16cid:durableId="66223399">
    <w:abstractNumId w:val="19"/>
  </w:num>
  <w:num w:numId="18" w16cid:durableId="1063917463">
    <w:abstractNumId w:val="14"/>
  </w:num>
  <w:num w:numId="19" w16cid:durableId="457113602">
    <w:abstractNumId w:val="12"/>
  </w:num>
  <w:num w:numId="20" w16cid:durableId="20199659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CC"/>
    <w:rsid w:val="00056E1E"/>
    <w:rsid w:val="0009660B"/>
    <w:rsid w:val="000C3AB4"/>
    <w:rsid w:val="000D6576"/>
    <w:rsid w:val="00115DA0"/>
    <w:rsid w:val="001A06C8"/>
    <w:rsid w:val="001B10A3"/>
    <w:rsid w:val="003A2967"/>
    <w:rsid w:val="0054367E"/>
    <w:rsid w:val="005D0FED"/>
    <w:rsid w:val="00631A60"/>
    <w:rsid w:val="00750F88"/>
    <w:rsid w:val="007541FE"/>
    <w:rsid w:val="00827D74"/>
    <w:rsid w:val="00850ECC"/>
    <w:rsid w:val="00937C16"/>
    <w:rsid w:val="00BB20B2"/>
    <w:rsid w:val="00CD078D"/>
    <w:rsid w:val="00D97ACA"/>
    <w:rsid w:val="00E478E4"/>
    <w:rsid w:val="00EC00E9"/>
    <w:rsid w:val="00E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EBFF"/>
  <w15:chartTrackingRefBased/>
  <w15:docId w15:val="{B5B127A5-3FD1-4EEE-99B6-1A95AB5C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B10A3"/>
    <w:pPr>
      <w:keepNext/>
      <w:keepLines/>
      <w:spacing w:before="130" w:after="0" w:line="280" w:lineRule="atLeast"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9660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9660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ipercze">
    <w:name w:val="Hyperlink"/>
    <w:uiPriority w:val="99"/>
    <w:unhideWhenUsed/>
    <w:rsid w:val="0009660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66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660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09660B"/>
    <w:rPr>
      <w:vertAlign w:val="superscript"/>
    </w:rPr>
  </w:style>
  <w:style w:type="paragraph" w:styleId="Akapitzlist">
    <w:name w:val="List Paragraph"/>
    <w:basedOn w:val="Normalny"/>
    <w:uiPriority w:val="1"/>
    <w:qFormat/>
    <w:rsid w:val="0009660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1B10A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43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67E"/>
  </w:style>
  <w:style w:type="paragraph" w:styleId="Stopka">
    <w:name w:val="footer"/>
    <w:basedOn w:val="Normalny"/>
    <w:link w:val="StopkaZnak"/>
    <w:uiPriority w:val="99"/>
    <w:unhideWhenUsed/>
    <w:rsid w:val="00543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1144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Przybojewska</dc:creator>
  <cp:keywords/>
  <dc:description/>
  <cp:lastModifiedBy>Marta Łazarczyk</cp:lastModifiedBy>
  <cp:revision>2</cp:revision>
  <dcterms:created xsi:type="dcterms:W3CDTF">2025-05-29T15:32:00Z</dcterms:created>
  <dcterms:modified xsi:type="dcterms:W3CDTF">2025-05-29T15:32:00Z</dcterms:modified>
</cp:coreProperties>
</file>